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276" w:lineRule="auto"/>
        <w:ind w:firstLine="0"/>
        <w:jc w:val="center"/>
        <w:rPr>
          <w:color w:val="ff0000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CHAMAMENTO PÚBLICO </w:t>
      </w:r>
      <w:r w:rsidDel="00000000" w:rsidR="00000000" w:rsidRPr="00000000">
        <w:rPr>
          <w:b w:val="1"/>
          <w:color w:val="000000"/>
          <w:sz w:val="24"/>
          <w:szCs w:val="24"/>
          <w:u w:val="none"/>
          <w:rtl w:val="0"/>
        </w:rPr>
        <w:t xml:space="preserve">23/2024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276" w:lineRule="auto"/>
        <w:ind w:firstLine="0"/>
        <w:jc w:val="center"/>
        <w:rPr>
          <w:color w:val="ff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REDE </w:t>
      </w:r>
      <w:r w:rsidDel="00000000" w:rsidR="00000000" w:rsidRPr="00000000">
        <w:rPr>
          <w:color w:val="000000"/>
          <w:sz w:val="24"/>
          <w:szCs w:val="24"/>
          <w:u w:val="none"/>
          <w:rtl w:val="0"/>
        </w:rPr>
        <w:t xml:space="preserve">MUNICIPAL DE PONTOS DE CULTURA DE CASCAVEL - PARANÁ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276" w:lineRule="auto"/>
        <w:ind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276" w:lineRule="auto"/>
        <w:ind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CULTURA VIVA DO TAMANHO DO BRASIL!</w:t>
      </w:r>
    </w:p>
    <w:p w:rsidR="00000000" w:rsidDel="00000000" w:rsidP="00000000" w:rsidRDefault="00000000" w:rsidRPr="00000000" w14:paraId="0000000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276" w:lineRule="auto"/>
        <w:ind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FOMENTO A PROJETOS CONTINUADOS DE PONTOS DE CULTURA</w:t>
      </w:r>
    </w:p>
    <w:p w:rsidR="00000000" w:rsidDel="00000000" w:rsidP="00000000" w:rsidRDefault="00000000" w:rsidRPr="00000000" w14:paraId="00000006">
      <w:pPr>
        <w:shd w:fill="ffffff" w:val="clear"/>
        <w:spacing w:after="0" w:line="240" w:lineRule="auto"/>
        <w:ind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center" w:leader="none" w:pos="0"/>
        </w:tabs>
        <w:spacing w:after="120" w:before="120" w:line="240" w:lineRule="auto"/>
        <w:ind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ANEXO 10 - MINUTA DE TERMO DE COMPROMISSO CULTURAL - PONTO DE CULTURA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1"/>
        <w:spacing w:after="0" w:line="240" w:lineRule="auto"/>
        <w:ind w:left="0" w:firstLine="0"/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color w:val="ff0000"/>
          <w:sz w:val="20"/>
          <w:szCs w:val="20"/>
          <w:rtl w:val="0"/>
        </w:rPr>
        <w:t xml:space="preserve">(Rubricar todas as páginas)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20" w:before="12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20" w:before="120" w:line="240" w:lineRule="auto"/>
        <w:ind w:left="0" w:firstLine="0"/>
        <w:jc w:val="both"/>
        <w:rPr>
          <w:rFonts w:ascii="Calibri" w:cs="Calibri" w:eastAsia="Calibri" w:hAnsi="Calibri"/>
          <w:b w:val="1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TERMO DE COMPROMISSO CULTURAL Nº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rtl w:val="0"/>
        </w:rPr>
        <w:t xml:space="preserve">XX/2023</w:t>
      </w:r>
    </w:p>
    <w:tbl>
      <w:tblPr>
        <w:tblStyle w:val="Table1"/>
        <w:tblW w:w="9972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9972"/>
        <w:tblGridChange w:id="0">
          <w:tblGrid>
            <w:gridCol w:w="9972"/>
          </w:tblGrid>
        </w:tblGridChange>
      </w:tblGrid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1.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     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FINALIDADE</w:t>
            </w:r>
          </w:p>
        </w:tc>
      </w:tr>
      <w:tr>
        <w:trPr>
          <w:cantSplit w:val="0"/>
          <w:trHeight w:val="163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spacing w:after="120" w:before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 Município de Cascavel - Paraná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,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representado pela Secretaria Municipal de Cultura, e a ENTIDADE CULTURAL celebram o presente TERMO DE COMPROMISSO CULTURAL - TCC, com a finalidade de executar Projeto Cultural, nos termos do Plano de Trabalho anexo, para implementação da Política Nacional de Cultura Viva – PNCV, mediante as condições estipuladas em suas Cláusulas, nos termos da Lei nº 14.399, de 08 de julho de 2022 (PNAB), do Decreto nº 11.740, de 18 de outubro de 2023, e Portaria MinC nº 80, de 27 de outubro de 2023 (Regulamentam a PNAB), do Decreto nº 11.453, de 23 de março de 2023 (Decreto de Fomento), da Lei nº 13.018, de 22 de julho de 2014 (Lei Cultura Viva), da Instrução Normativa /MinC nº 08, de 11 de maio de 2016 (IN Cultura Viva).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spacing w:after="120" w:before="12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72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3130"/>
        <w:gridCol w:w="1849"/>
        <w:gridCol w:w="1507"/>
        <w:gridCol w:w="3486"/>
        <w:tblGridChange w:id="0">
          <w:tblGrid>
            <w:gridCol w:w="3130"/>
            <w:gridCol w:w="1849"/>
            <w:gridCol w:w="1507"/>
            <w:gridCol w:w="3486"/>
          </w:tblGrid>
        </w:tblGridChange>
      </w:tblGrid>
      <w:tr>
        <w:trPr>
          <w:cantSplit w:val="0"/>
          <w:trHeight w:val="525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2.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     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IDENTIFICAÇÃO DAS PARTES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2.1. ENTE PÚBLICO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Razão Social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8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CNPJ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Endereço completo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Nome do responsável legal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Cargo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Registro Geral (RG)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CPF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shd w:fill="d9d9d9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Ato de nomeação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6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2.2. ENTIDADE CULTURAL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Razão Social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9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CNPJ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Endereço completo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Nome do responsável legal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Cargo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Registro Geral (RG)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CPF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50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Endereço completo do responsável legal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51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54">
      <w:pPr>
        <w:spacing w:after="120" w:before="12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                                                </w:t>
        <w:tab/>
      </w:r>
    </w:p>
    <w:tbl>
      <w:tblPr>
        <w:tblStyle w:val="Table3"/>
        <w:tblW w:w="9972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9972"/>
        <w:tblGridChange w:id="0">
          <w:tblGrid>
            <w:gridCol w:w="9972"/>
          </w:tblGrid>
        </w:tblGridChange>
      </w:tblGrid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55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3.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     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OBJETO</w:t>
            </w:r>
          </w:p>
        </w:tc>
      </w:tr>
      <w:tr>
        <w:trPr>
          <w:cantSplit w:val="0"/>
          <w:trHeight w:val="108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56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3.1.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O presente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Termo de Compromisso Cultural-TCC tem como objeto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a execução de projeto selecionado no Edital 23/2024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, </w:t>
            </w: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que visa a promoção do acesso da população aos bens e aos serviços culturais nos territórios e comunidades onde atuam, nos termos da Política Nacional de Cultura Viva - PNCV, conforme Plano de Trabalho anexo.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7">
      <w:pPr>
        <w:ind w:left="0" w:firstLine="0"/>
        <w:rPr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                                                </w:t>
        <w:tab/>
        <w:t xml:space="preserve">                                                 </w:t>
        <w:tab/>
      </w:r>
      <w:r w:rsidDel="00000000" w:rsidR="00000000" w:rsidRPr="00000000">
        <w:rPr>
          <w:rtl w:val="0"/>
        </w:rPr>
      </w:r>
    </w:p>
    <w:tbl>
      <w:tblPr>
        <w:tblStyle w:val="Table4"/>
        <w:tblW w:w="9972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9972"/>
        <w:tblGridChange w:id="0">
          <w:tblGrid>
            <w:gridCol w:w="9972"/>
          </w:tblGrid>
        </w:tblGridChange>
      </w:tblGrid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shd w:fill="d9d9d9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OBRIGAÇÕES DAS PARTES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shd w:fill="d9d9d9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59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.1.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Do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[NOME DO ESTADO/MUNICÍPIO]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5A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Incumbe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à Secretaria Municipal de Cultura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observar as obrigações descritas na Instrução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legislação de regência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,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e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as seguintes responsabilidades:</w:t>
            </w:r>
          </w:p>
          <w:p w:rsidR="00000000" w:rsidDel="00000000" w:rsidP="00000000" w:rsidRDefault="00000000" w:rsidRPr="00000000" w14:paraId="0000005B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 - coordenar a gestão da PNCV, no âmbito de sua esfera de atuação;</w:t>
            </w:r>
          </w:p>
          <w:p w:rsidR="00000000" w:rsidDel="00000000" w:rsidP="00000000" w:rsidRDefault="00000000" w:rsidRPr="00000000" w14:paraId="0000005C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II - atuar em parceria federativa junto ao governo federal, governos estaduais, do Distrito Federal e municipais, e outras instituições, para efetivação dos objetivos da PNCV previstos em lei;</w:t>
            </w:r>
          </w:p>
          <w:p w:rsidR="00000000" w:rsidDel="00000000" w:rsidP="00000000" w:rsidRDefault="00000000" w:rsidRPr="00000000" w14:paraId="0000005D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III - realizar planejamento de desenvolvimento da PNCV, observando o P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lano Nacional de Cultura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e planos de cultura locais;</w:t>
            </w:r>
          </w:p>
          <w:p w:rsidR="00000000" w:rsidDel="00000000" w:rsidP="00000000" w:rsidRDefault="00000000" w:rsidRPr="00000000" w14:paraId="0000005E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IV - garantir recursos humanos, orçamentários, financeiros, logísticos e tecnológicos para implementação da PNCV e efetividade de seus resultados;</w:t>
            </w:r>
          </w:p>
          <w:p w:rsidR="00000000" w:rsidDel="00000000" w:rsidP="00000000" w:rsidRDefault="00000000" w:rsidRPr="00000000" w14:paraId="0000005F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V -  desenvolver uma gestão pública compartilhada e participativa, por meio da organização e institucionalização das instâncias, fóruns e espaços de diálogos institucionais entre os partícipes da PNCV, em sua área de abrangência territorial;</w:t>
            </w:r>
          </w:p>
          <w:p w:rsidR="00000000" w:rsidDel="00000000" w:rsidP="00000000" w:rsidRDefault="00000000" w:rsidRPr="00000000" w14:paraId="00000060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VI - desenvolver as ações estruturantes da PNCV por meio de políticas públicas integradas visando a promoção em uma cultura de direitos humanos e de valorização da cidadania e da diversidade artística e cultural;</w:t>
            </w:r>
          </w:p>
          <w:p w:rsidR="00000000" w:rsidDel="00000000" w:rsidP="00000000" w:rsidRDefault="00000000" w:rsidRPr="00000000" w14:paraId="00000061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VII - disponibilizar e manter em funcionamento o Cadastro Nacional dos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Pontos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e Pontões de Cultura, no âmbito de sua esfera de atuação;</w:t>
            </w:r>
          </w:p>
          <w:p w:rsidR="00000000" w:rsidDel="00000000" w:rsidP="00000000" w:rsidRDefault="00000000" w:rsidRPr="00000000" w14:paraId="00000062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VIII - fomentar ações para qualificação e formação de gestores, dirigentes de entidades culturais e outros agentes envolvidos no âmbito da PNCV;</w:t>
            </w:r>
          </w:p>
          <w:p w:rsidR="00000000" w:rsidDel="00000000" w:rsidP="00000000" w:rsidRDefault="00000000" w:rsidRPr="00000000" w14:paraId="00000063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IX - dar ciência da celebração de parcerias federativas, no que couber, aos conselhos de cultura, assembleias legislativas e câmaras municipais de vereadores para efeitos de acompanhamento e fiscalização;</w:t>
            </w:r>
          </w:p>
          <w:p w:rsidR="00000000" w:rsidDel="00000000" w:rsidP="00000000" w:rsidRDefault="00000000" w:rsidRPr="00000000" w14:paraId="00000064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X - promover ações de publicidade da PNCV que proporcionem controle social, transparência pública e visibilidade das ações junto à sociedade;</w:t>
            </w:r>
          </w:p>
          <w:p w:rsidR="00000000" w:rsidDel="00000000" w:rsidP="00000000" w:rsidRDefault="00000000" w:rsidRPr="00000000" w14:paraId="00000065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XI - contribuir para o fortalecimento da atuação em redes territoriais, identitárias e temáticas no âmbito da PNCV;</w:t>
            </w:r>
          </w:p>
          <w:p w:rsidR="00000000" w:rsidDel="00000000" w:rsidP="00000000" w:rsidRDefault="00000000" w:rsidRPr="00000000" w14:paraId="00000066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XII - realizar os atos e os procedimentos relativos à formalização, execução, acompanhamento e análise da prestação de contas do presente TCC;</w:t>
            </w:r>
          </w:p>
          <w:p w:rsidR="00000000" w:rsidDel="00000000" w:rsidP="00000000" w:rsidRDefault="00000000" w:rsidRPr="00000000" w14:paraId="00000067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XIII - realizar os procedimentos relativos à Tomada de Contas Especial, quando for o caso;</w:t>
            </w:r>
          </w:p>
          <w:p w:rsidR="00000000" w:rsidDel="00000000" w:rsidP="00000000" w:rsidRDefault="00000000" w:rsidRPr="00000000" w14:paraId="00000068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XIV - cumprir com os procedimentos de transparência e publicidade atribuídos ao poder público conforme o disposto na Seção III da IN MinC nº 08 de 11 de maio de 2016;</w:t>
            </w:r>
          </w:p>
          <w:p w:rsidR="00000000" w:rsidDel="00000000" w:rsidP="00000000" w:rsidRDefault="00000000" w:rsidRPr="00000000" w14:paraId="00000069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XV - repassar os recursos financeiros ao PONT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O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DE CULTURA, de acordo com a programação orçamentária e financeira do ente público, obedecendo ao cronograma financeiro constante deste instrumento e do plano de trabalho;</w:t>
            </w:r>
          </w:p>
          <w:p w:rsidR="00000000" w:rsidDel="00000000" w:rsidP="00000000" w:rsidRDefault="00000000" w:rsidRPr="00000000" w14:paraId="0000006A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XVI - prorrogar “de ofício” o prazo de vigência do TCC antes do seu término, quando der causa ao atraso na liberação dos recursos, limitada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à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prorrogação ao exato período do atraso verificado;</w:t>
            </w:r>
          </w:p>
          <w:p w:rsidR="00000000" w:rsidDel="00000000" w:rsidP="00000000" w:rsidRDefault="00000000" w:rsidRPr="00000000" w14:paraId="0000006B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XVII - aplicar as penalidades previstas e proceder às ações administrativas necessárias à exigência da restituição dos recursos transferidos;</w:t>
            </w:r>
          </w:p>
          <w:p w:rsidR="00000000" w:rsidDel="00000000" w:rsidP="00000000" w:rsidRDefault="00000000" w:rsidRPr="00000000" w14:paraId="0000006C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XVIII - comunicar aos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Pontos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e Pontões de Cultura a identificação de quaisquer irregularidades decorrentes do uso dos recursos ou pendências de ordem técnica, podendo suspender a liberação de recursos e fixar prazo de trinta dias para saneamento ou apresentação de justificativa com informações e esclarecimentos, prorrogável uma única vez por igual período.</w:t>
            </w:r>
          </w:p>
          <w:p w:rsidR="00000000" w:rsidDel="00000000" w:rsidP="00000000" w:rsidRDefault="00000000" w:rsidRPr="00000000" w14:paraId="0000006D">
            <w:pPr>
              <w:spacing w:after="120" w:before="12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XIX - analisar a prestação de contas dos recursos aplicados na consecução do objeto deste TCC, na forma e prazo fixados no Dec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reto nº 11.453/2023 e no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art. 47 da IN MinC nº 08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/2016;</w:t>
            </w:r>
          </w:p>
          <w:p w:rsidR="00000000" w:rsidDel="00000000" w:rsidP="00000000" w:rsidRDefault="00000000" w:rsidRPr="00000000" w14:paraId="0000006E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XX - nos casos em que o PONT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O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DE CULTURA não apresentar o Relatório de Execução do Objeto ou o Relatório de Execução Financeira nos prazos devidos, enviar notificação exigindo que o faça no prazo máximo de trinta dias, sob pena de rejeição das contas e exigência de devolução integral dos recursos, com atualização monetária e juros;</w:t>
            </w:r>
          </w:p>
          <w:p w:rsidR="00000000" w:rsidDel="00000000" w:rsidP="00000000" w:rsidRDefault="00000000" w:rsidRPr="00000000" w14:paraId="0000006F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XXI - exercer, se conveniente e oportuno, a prerrogativa de assumir ou de transferir a responsabilidade pela execução do objeto, no caso de paralisação ou da ocorrência de fato relevante, de modo a evitar sua descontinuidade.</w:t>
            </w:r>
          </w:p>
          <w:p w:rsidR="00000000" w:rsidDel="00000000" w:rsidP="00000000" w:rsidRDefault="00000000" w:rsidRPr="00000000" w14:paraId="00000070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shd w:fill="d9d9d9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71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.2.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Da Entidade Cultural</w:t>
            </w:r>
          </w:p>
        </w:tc>
      </w:tr>
      <w:tr>
        <w:trPr>
          <w:cantSplit w:val="0"/>
          <w:trHeight w:val="22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72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Incumbe à Entidade Cultural observar as obrigações descritas na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legislação de regência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e, ainda, as seguintes responsabilidades:</w:t>
            </w:r>
          </w:p>
          <w:p w:rsidR="00000000" w:rsidDel="00000000" w:rsidP="00000000" w:rsidRDefault="00000000" w:rsidRPr="00000000" w14:paraId="00000073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 - executar o projeto conforme Plano de Trabalho aprovado e produzir provas documentais sobre o andamento da execução do projeto, inclusive das alterações no Plano de Trabalho;</w:t>
            </w:r>
          </w:p>
          <w:p w:rsidR="00000000" w:rsidDel="00000000" w:rsidP="00000000" w:rsidRDefault="00000000" w:rsidRPr="00000000" w14:paraId="00000074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II - cumprir com os procedimentos de transparência e publicidade atribuídos à entidade cultural conforme o disposto no Capítulo IV,  Seção III da IN MinC nº 08 de 11 de maio de 2016;</w:t>
            </w:r>
          </w:p>
          <w:p w:rsidR="00000000" w:rsidDel="00000000" w:rsidP="00000000" w:rsidRDefault="00000000" w:rsidRPr="00000000" w14:paraId="00000075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III - divulgar, em destaque, o nome do Ministério da Cultura/Governo Federal e do ENTE PÚBLICO parceiro em todos os atos de promoção e divulgação do projeto, obedecendo aos critérios de veiculação das logomarcas estabelecidas, que serão disponibilizadas pela SCDC/MinC e pelo ENTE PÚBLICO parceiro, observadas as restrições vigentes em ano eleitoral, quando for o caso;</w:t>
            </w:r>
          </w:p>
          <w:p w:rsidR="00000000" w:rsidDel="00000000" w:rsidP="00000000" w:rsidRDefault="00000000" w:rsidRPr="00000000" w14:paraId="00000076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IV - desenvolver uma gestão compartilhada e participativa, por meio de instâncias, fóruns e espaços de diálogos junto aos beneficiários em sua área de abrangência;</w:t>
            </w:r>
          </w:p>
          <w:p w:rsidR="00000000" w:rsidDel="00000000" w:rsidP="00000000" w:rsidRDefault="00000000" w:rsidRPr="00000000" w14:paraId="00000077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V - envidar esforços visando atuar nos processos participativos instituídos pelo Sistema Nacional de Cultura-SNC (especialmente as Conferências de Cultura) e pela PNCV (especialmente as TEIAs) em âmbito local, regional e nacional;</w:t>
            </w:r>
          </w:p>
          <w:p w:rsidR="00000000" w:rsidDel="00000000" w:rsidP="00000000" w:rsidRDefault="00000000" w:rsidRPr="00000000" w14:paraId="00000078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VI - estimular a participação ativa dos beneficiários da PNCV nos processos participativos instituídos no SNC e na PNCV em âmbito local, regional e nacional;</w:t>
            </w:r>
          </w:p>
          <w:p w:rsidR="00000000" w:rsidDel="00000000" w:rsidP="00000000" w:rsidRDefault="00000000" w:rsidRPr="00000000" w14:paraId="00000079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VII - contribuir com a organização e funcionamento da Rede Cultura Viva e de suas instâncias, mecanismos e processos de gestão compartilhada, participação e controle social;</w:t>
            </w:r>
          </w:p>
          <w:p w:rsidR="00000000" w:rsidDel="00000000" w:rsidP="00000000" w:rsidRDefault="00000000" w:rsidRPr="00000000" w14:paraId="0000007A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VIII - manter seus dados cadastrais atualizados no Cadastro Nacional de Pontos e Pontões de Cultura, atendendo à chamada anual de atualização de dados;</w:t>
            </w:r>
          </w:p>
          <w:p w:rsidR="00000000" w:rsidDel="00000000" w:rsidP="00000000" w:rsidRDefault="00000000" w:rsidRPr="00000000" w14:paraId="0000007B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IX - dar transparência aos valores pagos a título de remuneração de sua equipe de trabalho vinculada à execução do TCC, em sua sede e no seu sítio eletrônico, sendo vedado o pagamento, a qualquer título, a servidor ou empregado público, salvo nas hipóteses previstas em lei específica ou na Lei de Diretrizes Orçamentárias, a empresas privadas que tenham em seu quadro societário servidor público da ativa, ou a empregado de empresa pública, ou de sociedade de economia mista, por serviços prestados, inclusive consultoria, assistência técnica ou assemelhados;</w:t>
            </w:r>
          </w:p>
          <w:p w:rsidR="00000000" w:rsidDel="00000000" w:rsidP="00000000" w:rsidRDefault="00000000" w:rsidRPr="00000000" w14:paraId="0000007C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X - permitir livre acesso dos servidores dos órgãos ou das entidades públicas repassadoras dos recursos, do controle interno e do tribunal de contas correspondentes aos processos, aos documentos, às informações referentes aos instrumentos de transferências regulamentados pela Instrução Normativa/MinC nº 8/2016, bem como aos locais de execução do objeto;</w:t>
            </w:r>
          </w:p>
          <w:p w:rsidR="00000000" w:rsidDel="00000000" w:rsidP="00000000" w:rsidRDefault="00000000" w:rsidRPr="00000000" w14:paraId="0000007D">
            <w:pPr>
              <w:spacing w:after="120" w:before="12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XI - a responsabilidade exclusiva pelo gerenciamento administrativo e financeiro dos recursos recebidos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; </w:t>
            </w:r>
          </w:p>
          <w:p w:rsidR="00000000" w:rsidDel="00000000" w:rsidP="00000000" w:rsidRDefault="00000000" w:rsidRPr="00000000" w14:paraId="0000007E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XII - pagar os encargos trabalhistas, previdenciários, fiscais e comerciais relativos ao funcionamento da instituição e ao adimplemento do TCC, não se caracterizando responsabilidade solidária ou subsidiária da administração pública concedente pelos respectivos pagamentos ou qualquer oneração do objeto da parceria ou restrição à sua execução;</w:t>
            </w:r>
          </w:p>
          <w:p w:rsidR="00000000" w:rsidDel="00000000" w:rsidP="00000000" w:rsidRDefault="00000000" w:rsidRPr="00000000" w14:paraId="0000007F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XIII - prestar contas dos recursos recebidos, conforme acordado neste Termo e  na forma dos atos normativos que se relacionam com o tema;</w:t>
            </w:r>
          </w:p>
          <w:p w:rsidR="00000000" w:rsidDel="00000000" w:rsidP="00000000" w:rsidRDefault="00000000" w:rsidRPr="00000000" w14:paraId="00000080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XIV - guardar os documentos originais de comprovação do cumprimento do objeto pelo prazo de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cinco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anos após a entrega da prestação de contas, estando ciente de que a documentação de comprovação fiscal em princípio não será exigida, mas deve ser obtida e guardada pela entidade cultural pelo mesmo prazo, e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inclusive pode ser solicitada para fins de demonstração de cumprimento de obrigações perante outras autoridades estatais, tais como os órgãos de fiscalização tributária, previdenciária e trabalhista, órgãos de controle interno e externo do Governo Estadual ou Federal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; e</w:t>
            </w:r>
          </w:p>
          <w:p w:rsidR="00000000" w:rsidDel="00000000" w:rsidP="00000000" w:rsidRDefault="00000000" w:rsidRPr="00000000" w14:paraId="00000081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XV -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adquirir e manter em bom estado equipamentos multimídia, direcionados à cultura digital, que contribuam com o objeto pactuado, salvo quando a Entidade declare que já possui equipamento em adequadas condições de manutenção e funcionamento, comprometendo-se a disponibilizá-lo para uso na execução da parceria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2">
      <w:pPr>
        <w:ind w:left="0" w:hanging="2"/>
        <w:rPr/>
      </w:pPr>
      <w:r w:rsidDel="00000000" w:rsidR="00000000" w:rsidRPr="00000000">
        <w:rPr>
          <w:rtl w:val="0"/>
        </w:rPr>
      </w:r>
    </w:p>
    <w:tbl>
      <w:tblPr>
        <w:tblStyle w:val="Table5"/>
        <w:tblW w:w="9972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9972"/>
        <w:tblGridChange w:id="0">
          <w:tblGrid>
            <w:gridCol w:w="9972"/>
          </w:tblGrid>
        </w:tblGridChange>
      </w:tblGrid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shd w:fill="d9d9d9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5.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DOS VALORES</w:t>
            </w:r>
          </w:p>
        </w:tc>
      </w:tr>
      <w:tr>
        <w:trPr>
          <w:cantSplit w:val="0"/>
          <w:trHeight w:val="13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84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Para execução das atividades pr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evistas no Plano de Trabalho deste TCC, serão disponibilizados pelo Ente Público recursos no valor total de R$ </w:t>
            </w: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XXXXXXXX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em parcela única, de acordo com o Cronograma de Desembolso constante do Plano de Trabalho, correspondente à Nota de Empenho </w:t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sz w:val="24"/>
                <w:szCs w:val="24"/>
                <w:rtl w:val="0"/>
              </w:rPr>
              <w:t xml:space="preserve">XXXX, de XX/XX/202</w:t>
            </w: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shd w:fill="d9d9d9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5.1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 movimentação dos recursos financeiros</w:t>
            </w:r>
          </w:p>
        </w:tc>
      </w:tr>
      <w:tr>
        <w:trPr>
          <w:cantSplit w:val="0"/>
          <w:trHeight w:val="22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86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Os recursos referentes ao presente Termo de Compromisso Cultural, a serem desembolsados pelo Ente Público, serão depositados e geridos em conta específica de instituição financeira indicada pela entidade cultural, na </w:t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sz w:val="24"/>
                <w:szCs w:val="24"/>
                <w:rtl w:val="0"/>
              </w:rPr>
              <w:t xml:space="preserve">Agência XXXX – Banco XXXX, na cidade XXXX, UF XX,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em conformidade com os prazos estabelecidos no Cronograma Financeiro constante do Plano de Trabalho.</w:t>
            </w:r>
          </w:p>
          <w:p w:rsidR="00000000" w:rsidDel="00000000" w:rsidP="00000000" w:rsidRDefault="00000000" w:rsidRPr="00000000" w14:paraId="00000087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5.1.1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Os recursos depositados nesta conta bancária específica, enquanto não empregados na sua finalidade, serão obrigatoriamente aplicados:</w:t>
            </w:r>
          </w:p>
          <w:p w:rsidR="00000000" w:rsidDel="00000000" w:rsidP="00000000" w:rsidRDefault="00000000" w:rsidRPr="00000000" w14:paraId="00000088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 - em caderneta de poupança, ou</w:t>
            </w:r>
          </w:p>
          <w:p w:rsidR="00000000" w:rsidDel="00000000" w:rsidP="00000000" w:rsidRDefault="00000000" w:rsidRPr="00000000" w14:paraId="00000089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II - em fundo de aplicação financeira de curto prazo ou operação de mercado aberto lastreada em título da dívida pública.</w:t>
            </w:r>
          </w:p>
          <w:p w:rsidR="00000000" w:rsidDel="00000000" w:rsidP="00000000" w:rsidRDefault="00000000" w:rsidRPr="00000000" w14:paraId="0000008A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5.1.2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Os recursos dest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e Termo de Compromisso Cultural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serão utilizados exclusivamente para o pagamento das despesas previstas no objeto do TCC, vedada a sua aplicação em finalidade diversa, ainda que decorrentes de necessidade emergencial d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shd w:fill="auto" w:val="clear"/>
                <w:rtl w:val="0"/>
              </w:rPr>
              <w:t xml:space="preserve">o PONT</w:t>
            </w:r>
            <w:r w:rsidDel="00000000" w:rsidR="00000000" w:rsidRPr="00000000">
              <w:rPr>
                <w:sz w:val="24"/>
                <w:szCs w:val="24"/>
                <w:shd w:fill="auto" w:val="clear"/>
                <w:rtl w:val="0"/>
              </w:rPr>
              <w:t xml:space="preserve">O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shd w:fill="auto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DE CULTURA.</w:t>
            </w:r>
          </w:p>
          <w:p w:rsidR="00000000" w:rsidDel="00000000" w:rsidP="00000000" w:rsidRDefault="00000000" w:rsidRPr="00000000" w14:paraId="0000008B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5.1.3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Os rendimentos de aplicações financeiras poderão ser aplicados para manter o poder de compra dos recursos da parceria, bem como para ampliação ou criação de metas, durante a vigência do TCC, desde que contribuam para a execução do objeto, ou para incremento deste.</w:t>
            </w:r>
          </w:p>
          <w:p w:rsidR="00000000" w:rsidDel="00000000" w:rsidP="00000000" w:rsidRDefault="00000000" w:rsidRPr="00000000" w14:paraId="0000008C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5.1.4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 uso de rendimentos para as finalidades descritas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no item 5.1.3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poderá ser realizado sem autorização prévia da administração pública, desde que seja descrito no Relatório de Execução do Objeto, com motivação.</w:t>
            </w:r>
          </w:p>
          <w:p w:rsidR="00000000" w:rsidDel="00000000" w:rsidP="00000000" w:rsidRDefault="00000000" w:rsidRPr="00000000" w14:paraId="0000008D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5.1.5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 remanejamento de recurso no plano de trabalho poderá ocorrer desde que:</w:t>
            </w:r>
          </w:p>
          <w:p w:rsidR="00000000" w:rsidDel="00000000" w:rsidP="00000000" w:rsidRDefault="00000000" w:rsidRPr="00000000" w14:paraId="0000008E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 - seja realizado durante a vigência d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o TCC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08F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II - tenha como finalidade o cumprimento do objeto pactuado;</w:t>
            </w:r>
          </w:p>
          <w:p w:rsidR="00000000" w:rsidDel="00000000" w:rsidP="00000000" w:rsidRDefault="00000000" w:rsidRPr="00000000" w14:paraId="00000090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III - não altere o valor global do orçamento aprovado no TCC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5.1.6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Após a conclusão, rescisão ou extinção d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este TCC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, os saldos financeiros remanescentes, inclusive os provenientes das receitas obtidas das aplicações financeiras realizadas, deverão ser devolvidos pelo PONT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O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DE CULTURA ao Ente Público, no prazo de trinta dias.</w:t>
            </w:r>
          </w:p>
        </w:tc>
      </w:tr>
    </w:tbl>
    <w:p w:rsidR="00000000" w:rsidDel="00000000" w:rsidP="00000000" w:rsidRDefault="00000000" w:rsidRPr="00000000" w14:paraId="00000092">
      <w:pPr>
        <w:ind w:left="0" w:hanging="2"/>
        <w:rPr/>
      </w:pPr>
      <w:r w:rsidDel="00000000" w:rsidR="00000000" w:rsidRPr="00000000">
        <w:rPr>
          <w:rtl w:val="0"/>
        </w:rPr>
      </w:r>
    </w:p>
    <w:tbl>
      <w:tblPr>
        <w:tblStyle w:val="Table6"/>
        <w:tblW w:w="9972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9972"/>
        <w:tblGridChange w:id="0">
          <w:tblGrid>
            <w:gridCol w:w="9972"/>
          </w:tblGrid>
        </w:tblGridChange>
      </w:tblGrid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shd w:fill="d9d9d9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6.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 ACOMPANHAMENTO E AVALIAÇÃO</w:t>
            </w:r>
          </w:p>
        </w:tc>
      </w:tr>
      <w:tr>
        <w:trPr>
          <w:cantSplit w:val="0"/>
          <w:trHeight w:val="22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94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6.1. A Secretaria Municipal de Cultura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realizará o acompanhamento e a avaliação da execução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deste TCC, periodicamente, durante a vigência da parceria, com vistas a promover o levantamento de dados para subsidiar a avaliação da prestação de contas podendo, para tanto:</w:t>
            </w:r>
          </w:p>
          <w:p w:rsidR="00000000" w:rsidDel="00000000" w:rsidP="00000000" w:rsidRDefault="00000000" w:rsidRPr="00000000" w14:paraId="00000095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 -  exigir informações técnicas (incluindo relatório fotográfico), prestações de contas parciais e/ou final a qualquer momento;</w:t>
            </w:r>
          </w:p>
          <w:p w:rsidR="00000000" w:rsidDel="00000000" w:rsidP="00000000" w:rsidRDefault="00000000" w:rsidRPr="00000000" w14:paraId="00000096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II - exigir o registro, nos sistemas institucionais indicados pelo Ministério da Cultura, das atividades provenientes da execução do TCC;</w:t>
            </w:r>
          </w:p>
          <w:p w:rsidR="00000000" w:rsidDel="00000000" w:rsidP="00000000" w:rsidRDefault="00000000" w:rsidRPr="00000000" w14:paraId="00000097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III - usar os diversos canais eletrônicos de comunicação e divulgação absorvendo informações sobre a execução do TCC e adotando providências necessárias, quando for o caso;</w:t>
            </w:r>
          </w:p>
          <w:p w:rsidR="00000000" w:rsidDel="00000000" w:rsidP="00000000" w:rsidRDefault="00000000" w:rsidRPr="00000000" w14:paraId="00000098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IV - fazer vistoria in loco (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vistoria no local)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099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V - utilizar apoio técnico de terceiros, delegar competência ou firmar parcerias com órgãos ou entidades.</w:t>
            </w:r>
          </w:p>
          <w:p w:rsidR="00000000" w:rsidDel="00000000" w:rsidP="00000000" w:rsidRDefault="00000000" w:rsidRPr="00000000" w14:paraId="0000009A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6.2 A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Secretaria Municipal de Cultura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produzirá registros sobre suas atividades de acompanhamento e monitoramento, por meio de certidões, memórias de reunião, relatórios ou outros documentos técnicos, podendo propor à entidade cultural a reorientação das ações ou a realização de ajustes para aprimorar a execução do objeto da parceria.</w:t>
            </w:r>
          </w:p>
          <w:p w:rsidR="00000000" w:rsidDel="00000000" w:rsidP="00000000" w:rsidRDefault="00000000" w:rsidRPr="00000000" w14:paraId="0000009B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6.3 Os TCCs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estarão também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sujeitos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aos mecanismos de controle social previstos na legislação e ao acompanhamento por comissões e conselhos de políticas públicas da área cultural.</w:t>
            </w:r>
          </w:p>
        </w:tc>
      </w:tr>
    </w:tbl>
    <w:p w:rsidR="00000000" w:rsidDel="00000000" w:rsidP="00000000" w:rsidRDefault="00000000" w:rsidRPr="00000000" w14:paraId="0000009C">
      <w:pPr>
        <w:ind w:left="0" w:hanging="2"/>
        <w:rPr/>
      </w:pPr>
      <w:r w:rsidDel="00000000" w:rsidR="00000000" w:rsidRPr="00000000">
        <w:rPr>
          <w:rtl w:val="0"/>
        </w:rPr>
      </w:r>
    </w:p>
    <w:tbl>
      <w:tblPr>
        <w:tblStyle w:val="Table7"/>
        <w:tblW w:w="9972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9972"/>
        <w:tblGridChange w:id="0">
          <w:tblGrid>
            <w:gridCol w:w="9972"/>
          </w:tblGrid>
        </w:tblGridChange>
      </w:tblGrid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shd w:fill="d9d9d9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7.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 PRESTAÇÃO DE CONTAS</w:t>
            </w:r>
          </w:p>
        </w:tc>
      </w:tr>
      <w:tr>
        <w:trPr>
          <w:cantSplit w:val="0"/>
          <w:trHeight w:val="22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9E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7.1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 prestação de contas será apresentada por meio do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u w:val="single"/>
                <w:rtl w:val="0"/>
              </w:rPr>
              <w:t xml:space="preserve">Relatório de Execução do Objeto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,, no prazo de noventa dias após o fim da vigência do TCC, contendo:</w:t>
            </w:r>
          </w:p>
          <w:p w:rsidR="00000000" w:rsidDel="00000000" w:rsidP="00000000" w:rsidRDefault="00000000" w:rsidRPr="00000000" w14:paraId="0000009F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 - relato das atividades realizadas para o cumprimento do objeto, que deve tratar sobre o alcance dos objetivos, sobre ações eventualmente realizadas para promover a acessibilidade e os desdobramentos do projeto, tendo por referência as informações constantes no plano de trabalho;</w:t>
            </w:r>
          </w:p>
          <w:p w:rsidR="00000000" w:rsidDel="00000000" w:rsidP="00000000" w:rsidRDefault="00000000" w:rsidRPr="00000000" w14:paraId="000000A0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II - comparativo de metas propostas com os resultados alcançados, a partir das informações constantes do plano de trabalho, podendo a comprovação sobre os produtos e serviços relativos às metas se dar pela apresentação de fotos, listas de presença, vídeos, entre outros;</w:t>
            </w:r>
          </w:p>
          <w:p w:rsidR="00000000" w:rsidDel="00000000" w:rsidP="00000000" w:rsidRDefault="00000000" w:rsidRPr="00000000" w14:paraId="000000A1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III - material que comprove a execução de cada item de despesa e a consecução de cada uma das metas (fotos, listas de presença, vídeos, entre outros) descrito no Plano de Trabalho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7.2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Os documentos originais de comprovação do cumprimento do objeto deverão ser guardados pelo PONT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O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DE CULTURA pelo prazo de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cinco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anos após a entrega da prestação de contas.</w:t>
            </w:r>
          </w:p>
          <w:p w:rsidR="00000000" w:rsidDel="00000000" w:rsidP="00000000" w:rsidRDefault="00000000" w:rsidRPr="00000000" w14:paraId="000000A3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7.3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 prazo de apresentação do Relatório de Execução do Objeto poderá ser prorrogado por até trinta dias, mediante solicitação fundamentada do PONT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O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DE CULTURA.</w:t>
            </w:r>
          </w:p>
          <w:p w:rsidR="00000000" w:rsidDel="00000000" w:rsidP="00000000" w:rsidRDefault="00000000" w:rsidRPr="00000000" w14:paraId="000000A4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7.4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Caso o Ente Público verifique que houve inadequação na execução do objeto, o PONT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O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DE CULTURA será notificado para apresentar Relatório de Execução Financeiro, no prazo de trinta dias, contendo:</w:t>
            </w:r>
          </w:p>
          <w:p w:rsidR="00000000" w:rsidDel="00000000" w:rsidP="00000000" w:rsidRDefault="00000000" w:rsidRPr="00000000" w14:paraId="000000A5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I- - relação de pagamentos, com indicação dos beneficiários desses pagamentos e identificação do item de despesa e meta relacionados a cada pagamento;</w:t>
            </w:r>
          </w:p>
          <w:p w:rsidR="00000000" w:rsidDel="00000000" w:rsidP="00000000" w:rsidRDefault="00000000" w:rsidRPr="00000000" w14:paraId="000000A6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II - extrato bancário da conta do TCC, incluindo toda a movimentação desde a abertura até a última movimentação, e conciliação bancária; e</w:t>
            </w:r>
          </w:p>
          <w:p w:rsidR="00000000" w:rsidDel="00000000" w:rsidP="00000000" w:rsidRDefault="00000000" w:rsidRPr="00000000" w14:paraId="000000A7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III - comprovante de recolhimento do saldo remanescente de recursos, quando houver.</w:t>
            </w:r>
          </w:p>
          <w:p w:rsidR="00000000" w:rsidDel="00000000" w:rsidP="00000000" w:rsidRDefault="00000000" w:rsidRPr="00000000" w14:paraId="000000A8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7.5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 Ente Público considerará que houve inadequação na execução do objeto quando configurada uma das seguintes hipóteses:</w:t>
            </w:r>
          </w:p>
          <w:p w:rsidR="00000000" w:rsidDel="00000000" w:rsidP="00000000" w:rsidRDefault="00000000" w:rsidRPr="00000000" w14:paraId="000000A9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I- - quando for identificado o descumprimento injustificado do alcance das metas; ou</w:t>
            </w:r>
          </w:p>
          <w:p w:rsidR="00000000" w:rsidDel="00000000" w:rsidP="00000000" w:rsidRDefault="00000000" w:rsidRPr="00000000" w14:paraId="000000AA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II - quando for aceita denúncia de irregularidade, mediante juízo de admissibilidade realizado pelo Ente Público.</w:t>
            </w:r>
          </w:p>
        </w:tc>
      </w:tr>
    </w:tbl>
    <w:p w:rsidR="00000000" w:rsidDel="00000000" w:rsidP="00000000" w:rsidRDefault="00000000" w:rsidRPr="00000000" w14:paraId="000000AB">
      <w:pPr>
        <w:ind w:left="0" w:hanging="2"/>
        <w:rPr/>
      </w:pPr>
      <w:r w:rsidDel="00000000" w:rsidR="00000000" w:rsidRPr="00000000">
        <w:rPr>
          <w:rtl w:val="0"/>
        </w:rPr>
      </w:r>
    </w:p>
    <w:tbl>
      <w:tblPr>
        <w:tblStyle w:val="Table8"/>
        <w:tblW w:w="9972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9972"/>
        <w:tblGridChange w:id="0">
          <w:tblGrid>
            <w:gridCol w:w="9972"/>
          </w:tblGrid>
        </w:tblGridChange>
      </w:tblGrid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shd w:fill="d9d9d9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8.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DOS BENS REMANESCENTES</w:t>
            </w:r>
          </w:p>
        </w:tc>
      </w:tr>
      <w:tr>
        <w:trPr>
          <w:cantSplit w:val="0"/>
          <w:trHeight w:val="14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AD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8.1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Os bens patrimoniais adquiridos, produzidos, transformados ou construídos com recursos deste TCC são da titularidade da Entidade Cultural celebrante e ficarão afetados ao objeto do presente TCC durante o prazo de sua duração, sendo considerados bens remanescentes ao seu término, dispensada a celebração de instrumento específico para esta finalidade.</w:t>
            </w:r>
          </w:p>
          <w:p w:rsidR="00000000" w:rsidDel="00000000" w:rsidP="00000000" w:rsidRDefault="00000000" w:rsidRPr="00000000" w14:paraId="000000AE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8.2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Quando da extinção da parceria, os bens remanescentes permanecerão na propriedade da Entidade Cultural, na medida em que os bens sejam úteis à continuidade da execução de ações de interesse social pela organização.</w:t>
            </w:r>
          </w:p>
          <w:p w:rsidR="00000000" w:rsidDel="00000000" w:rsidP="00000000" w:rsidRDefault="00000000" w:rsidRPr="00000000" w14:paraId="000000AF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8.3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Caso a prestação de contas final seja rejeitada, a titularidade dos bens remanescentes permanecerá com a Entidade Cultural, observados os seguintes procedimentos:</w:t>
            </w:r>
          </w:p>
          <w:p w:rsidR="00000000" w:rsidDel="00000000" w:rsidP="00000000" w:rsidRDefault="00000000" w:rsidRPr="00000000" w14:paraId="000000B0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 -  não será exigido ressarcimento do valor relativo ao bem adquirido quando a motivação da rejeição não estiver relacionada ao seu uso ou aquisição; ou</w:t>
            </w:r>
          </w:p>
          <w:p w:rsidR="00000000" w:rsidDel="00000000" w:rsidP="00000000" w:rsidRDefault="00000000" w:rsidRPr="00000000" w14:paraId="000000B1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II - o valor pelo qual o bem remanescente foi adquirido deverá ser computado no cálculo do dano ao erário a ser ressarcido, quando a motivação da rejeição estiver relacionada ao seu uso ou aquisição. </w:t>
            </w:r>
          </w:p>
          <w:p w:rsidR="00000000" w:rsidDel="00000000" w:rsidP="00000000" w:rsidRDefault="00000000" w:rsidRPr="00000000" w14:paraId="000000B2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8.4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Na hipótese de dissolução da Entidade Cultural durante a vigência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do TCC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, o valor pelo qual os bens remanescentes foram adquiridos deverá ser computado no cálculo do valor a ser ressarcido.</w:t>
            </w:r>
          </w:p>
          <w:p w:rsidR="00000000" w:rsidDel="00000000" w:rsidP="00000000" w:rsidRDefault="00000000" w:rsidRPr="00000000" w14:paraId="000000B3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8.5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 Entidade Cultural poderá realizar doação dos bens remanescentes a terceiros, inclusive beneficiários da política pública objeto da parceria, desde que demonstrada sua utilidade para realização ou continuidade de ações de interesse social.</w:t>
            </w:r>
          </w:p>
          <w:p w:rsidR="00000000" w:rsidDel="00000000" w:rsidP="00000000" w:rsidRDefault="00000000" w:rsidRPr="00000000" w14:paraId="000000B4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8.6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Os bens remanescentes poderão ter sua propriedade revertida para o Ente Público, a critério deste, se ao término da parceria ficar constatado que a Entidade Cultural não terá condições de dar continuidade à execução de ações de interesse social e a transferência da propriedade for necessária para assegurar a continuidade do objeto pactuado, seja por meio da celebração de nova parceria, seja pela execução direta do objeto pela Administração Pública Federal.</w:t>
            </w:r>
          </w:p>
          <w:p w:rsidR="00000000" w:rsidDel="00000000" w:rsidP="00000000" w:rsidRDefault="00000000" w:rsidRPr="00000000" w14:paraId="000000B5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8.7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 destinação dos bens remanescentes poderá ser alterada por meio da celebração de Termo Aditivo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ao TCC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, após solicitação fundamentada de uma das partes.</w:t>
            </w:r>
          </w:p>
          <w:p w:rsidR="00000000" w:rsidDel="00000000" w:rsidP="00000000" w:rsidRDefault="00000000" w:rsidRPr="00000000" w14:paraId="000000B6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8.8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 caso de término da execução do TCC antes da manifestação sobre eventual solicitação de uma das partes de alteração da destinação dos bens remanescentes, a custódia dos bens permanecerá sob a responsabilidade da Entidade Cultural até a decisão do pedido.</w:t>
            </w:r>
          </w:p>
        </w:tc>
      </w:tr>
    </w:tbl>
    <w:p w:rsidR="00000000" w:rsidDel="00000000" w:rsidP="00000000" w:rsidRDefault="00000000" w:rsidRPr="00000000" w14:paraId="000000B7">
      <w:pPr>
        <w:ind w:left="0" w:hanging="2"/>
        <w:rPr/>
      </w:pPr>
      <w:r w:rsidDel="00000000" w:rsidR="00000000" w:rsidRPr="00000000">
        <w:rPr>
          <w:rtl w:val="0"/>
        </w:rPr>
      </w:r>
    </w:p>
    <w:tbl>
      <w:tblPr>
        <w:tblStyle w:val="Table9"/>
        <w:tblW w:w="9972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9972"/>
        <w:tblGridChange w:id="0">
          <w:tblGrid>
            <w:gridCol w:w="9972"/>
          </w:tblGrid>
        </w:tblGridChange>
      </w:tblGrid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shd w:fill="d9d9d9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9.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DA PROPRIEDADE INTELECTUAL</w:t>
            </w:r>
          </w:p>
        </w:tc>
      </w:tr>
      <w:tr>
        <w:trPr>
          <w:cantSplit w:val="0"/>
          <w:trHeight w:val="22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B9">
            <w:pPr>
              <w:spacing w:after="120" w:before="12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9.1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Caso as atividades realizadas pela ENTIDADE CULTURAL com recursos públicos provenientes do Termo de C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ompromisso Cultural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deem origem a bens passíveis de proteção pelo direito de propriedade intelectual, a exemplo de invenções, modelos de utilidade, desenhos industriais, obras intelectuais, cultivares, direitos autorais, programas de computador e outros tipos de criação, a ENTIDADE CULTURAL terá a titularidade da propriedade intelectual e a participação nos ganhos econômicos resultantes da exploração dos respectivos bens, os quais ficarão gravados com cláusula de inalienabilidade durante a vigência d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o Termo de Compromisso Cultural.</w:t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9.2 - A ORGANIZAÇÃO DA SOCIEDADE CIVIL declara, mediante a assinatura deste instrumento, que se responsabiliza integralmente por providenciar desde já, independente de solicitação da ADMINISTRAÇÃO PÚBLICA, todas as autorizações necessárias para que a ADMINISTRAÇÃO PÚBLICA, sem ônus, durante o prazo de proteção dos direitos incidentes, em território nacional e estrangeiro, em caráter não exclusivo, utilize para fins de divulgação da Política Nacional de Cultura Viva, os bens submetidos a regime de propriedade intelectual que eventualmente decorrerem da execução deste TCC, da seguinte forma:</w:t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9.2.1 - Quanto aos direitos de que trata a Lei Nacional nº 9.279/1996, pelo uso de produto objeto de patente, processo ou produto obtido diretamente por processo patenteado, desenho industrial, indicação geográfica e marcas;</w:t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9.2.2 - Quanto aos direitos de que trata a Lei Nacional nº 9.610/1998, pelas seguintes modalidades:</w:t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 - a reprodução parcial ou integral, para fins de divulgação;</w:t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II - a tradução para qualquer idioma;</w:t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III - a inclusão em fonograma ou produção audiovisual;</w:t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IV - a inclusão em base de dados, o armazenamento em computador, a microfilmagem e as demais formas de arquivamento do gênero.</w:t>
            </w:r>
          </w:p>
          <w:p w:rsidR="00000000" w:rsidDel="00000000" w:rsidP="00000000" w:rsidRDefault="00000000" w:rsidRPr="00000000" w14:paraId="000000C1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9.2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Quando da extinção d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o TCC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, os bens remanescentes passíveis de proteção pelo direito de propriedade intelectual poderão ter sua propriedade revertida para o órgão ou entidade pública federal, a critério da Administração Pública, quando a ENTIDADE CULTURAL não tiver condições de dar continuidade à execução de ações de interesse social e a transferência da propriedade for necessária para assegurar a continuidade do objeto pactuado, seja por meio da celebração de nova parceria, seja pela execução direta do objeto pela Administração Pública.</w:t>
            </w:r>
          </w:p>
        </w:tc>
      </w:tr>
    </w:tbl>
    <w:p w:rsidR="00000000" w:rsidDel="00000000" w:rsidP="00000000" w:rsidRDefault="00000000" w:rsidRPr="00000000" w14:paraId="000000C2">
      <w:pPr>
        <w:ind w:left="0" w:hanging="2"/>
        <w:rPr/>
      </w:pPr>
      <w:r w:rsidDel="00000000" w:rsidR="00000000" w:rsidRPr="00000000">
        <w:rPr>
          <w:rtl w:val="0"/>
        </w:rPr>
      </w:r>
    </w:p>
    <w:tbl>
      <w:tblPr>
        <w:tblStyle w:val="Table10"/>
        <w:tblW w:w="9972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9972"/>
        <w:tblGridChange w:id="0">
          <w:tblGrid>
            <w:gridCol w:w="9972"/>
          </w:tblGrid>
        </w:tblGridChange>
      </w:tblGrid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shd w:fill="d9d9d9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10.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 PRAZO DE VIGÊNCIA</w:t>
            </w:r>
          </w:p>
        </w:tc>
      </w:tr>
      <w:tr>
        <w:trPr>
          <w:cantSplit w:val="0"/>
          <w:trHeight w:val="98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C4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10.1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 prazo de vigência deste TCC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será de 12 (doze) meses, contados a partir da data de sua assinatura, podendo ser prorrogado pelo dobro do tempo pactuado, mediante acordo entre as partes, excetuadas as prorrogações de ofício por atraso na liberação dos recursos.</w:t>
            </w:r>
          </w:p>
          <w:p w:rsidR="00000000" w:rsidDel="00000000" w:rsidP="00000000" w:rsidRDefault="00000000" w:rsidRPr="00000000" w14:paraId="000000C5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10.2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 vigência d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o TCC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poderá ser alterada mediante solicitação da entidade cultural, a ser apresentada à administração pública em, no mínimo, trinta dias antes do término de sua vigência.</w:t>
            </w:r>
          </w:p>
          <w:p w:rsidR="00000000" w:rsidDel="00000000" w:rsidP="00000000" w:rsidRDefault="00000000" w:rsidRPr="00000000" w14:paraId="000000C6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10.3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 prorrogação de ofício da vigência do instrumento deve ser feita pela administração pública, antes do seu término, quando ela der causa a atraso na liberação dos recursos, limitada ao exato período do atraso verificado.</w:t>
            </w:r>
          </w:p>
        </w:tc>
      </w:tr>
    </w:tbl>
    <w:p w:rsidR="00000000" w:rsidDel="00000000" w:rsidP="00000000" w:rsidRDefault="00000000" w:rsidRPr="00000000" w14:paraId="000000C7">
      <w:pPr>
        <w:ind w:left="0" w:hanging="2"/>
        <w:rPr/>
      </w:pPr>
      <w:r w:rsidDel="00000000" w:rsidR="00000000" w:rsidRPr="00000000">
        <w:rPr>
          <w:rtl w:val="0"/>
        </w:rPr>
      </w:r>
    </w:p>
    <w:tbl>
      <w:tblPr>
        <w:tblStyle w:val="Table11"/>
        <w:tblW w:w="9972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9972"/>
        <w:tblGridChange w:id="0">
          <w:tblGrid>
            <w:gridCol w:w="9972"/>
          </w:tblGrid>
        </w:tblGridChange>
      </w:tblGrid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shd w:fill="d9d9d9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11.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 RESCISÃO</w:t>
            </w:r>
          </w:p>
        </w:tc>
      </w:tr>
      <w:tr>
        <w:trPr>
          <w:cantSplit w:val="0"/>
          <w:trHeight w:val="22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C9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11.1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É facultado ao Ente Público e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à entidade cultural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rescindirem este TCC, a qualquer tempo, com as respectivas condições, sanções e delimitações claras de responsabilidades, além da estipulação de prazo mínimo de antecedência para a publicidade dessa intenção, que não poderá ser inferior a 60 (sessenta) dias.</w:t>
            </w:r>
          </w:p>
          <w:p w:rsidR="00000000" w:rsidDel="00000000" w:rsidP="00000000" w:rsidRDefault="00000000" w:rsidRPr="00000000" w14:paraId="000000CA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11.2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O Ente Público deverá rescindir este TCC caso seja cancelada a certificação simplificada do Pontão ou Pontão de Cultura, respeitados os atos jurídicos perfeitos, na forma do art. 11 da Instrução Normativa/MinC nº 8/2016.</w:t>
            </w:r>
          </w:p>
          <w:p w:rsidR="00000000" w:rsidDel="00000000" w:rsidP="00000000" w:rsidRDefault="00000000" w:rsidRPr="00000000" w14:paraId="000000CB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11.3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 Entidade Cultural deverá devolver ao Ente Público os saldos financeiros remanescentes, inclusive os provenientes das receitas obtidas das aplicações financeiras realizadas, no prazo de trinta dias após a conclusão, rescisão ou extinção da parceria, sob pena de adoção de medidas cabíveis para ressarcimento ao erário.</w:t>
            </w:r>
          </w:p>
          <w:p w:rsidR="00000000" w:rsidDel="00000000" w:rsidP="00000000" w:rsidRDefault="00000000" w:rsidRPr="00000000" w14:paraId="000000CC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11.4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Havendo rescisão,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a entidade cultural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fica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obrigada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a prestar contas de tudo que fora executado até a data da rescisão, observado o prazo e regras da Seção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7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.</w:t>
            </w:r>
          </w:p>
        </w:tc>
      </w:tr>
    </w:tbl>
    <w:p w:rsidR="00000000" w:rsidDel="00000000" w:rsidP="00000000" w:rsidRDefault="00000000" w:rsidRPr="00000000" w14:paraId="000000CD">
      <w:pPr>
        <w:ind w:left="0" w:hanging="2"/>
        <w:rPr/>
      </w:pPr>
      <w:r w:rsidDel="00000000" w:rsidR="00000000" w:rsidRPr="00000000">
        <w:rPr>
          <w:rtl w:val="0"/>
        </w:rPr>
      </w:r>
    </w:p>
    <w:tbl>
      <w:tblPr>
        <w:tblStyle w:val="Table12"/>
        <w:tblW w:w="9972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9972"/>
        <w:tblGridChange w:id="0">
          <w:tblGrid>
            <w:gridCol w:w="9972"/>
          </w:tblGrid>
        </w:tblGridChange>
      </w:tblGrid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shd w:fill="d9d9d9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12..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 PUBLICAÇÃO</w:t>
            </w:r>
          </w:p>
        </w:tc>
      </w:tr>
      <w:tr>
        <w:trPr>
          <w:cantSplit w:val="0"/>
          <w:trHeight w:val="85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CF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 Ente Público publicará extrato deste TCC no meio oficial de publicidade da administração pública, após a assinatura, para que se inicie a produção de seus efeitos.</w:t>
            </w:r>
          </w:p>
        </w:tc>
      </w:tr>
    </w:tbl>
    <w:p w:rsidR="00000000" w:rsidDel="00000000" w:rsidP="00000000" w:rsidRDefault="00000000" w:rsidRPr="00000000" w14:paraId="000000D0">
      <w:pPr>
        <w:ind w:left="0" w:hanging="2"/>
        <w:rPr/>
      </w:pPr>
      <w:r w:rsidDel="00000000" w:rsidR="00000000" w:rsidRPr="00000000">
        <w:rPr>
          <w:rtl w:val="0"/>
        </w:rPr>
      </w:r>
    </w:p>
    <w:tbl>
      <w:tblPr>
        <w:tblStyle w:val="Table13"/>
        <w:tblW w:w="9972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9972"/>
        <w:tblGridChange w:id="0">
          <w:tblGrid>
            <w:gridCol w:w="9972"/>
          </w:tblGrid>
        </w:tblGridChange>
      </w:tblGrid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shd w:fill="d9d9d9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13.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 FORO</w:t>
            </w:r>
          </w:p>
        </w:tc>
      </w:tr>
      <w:tr>
        <w:trPr>
          <w:cantSplit w:val="0"/>
          <w:trHeight w:val="85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D2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As partes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comprometem-se a submeter eventuais controvérsias decorrentes do presente ajuste à prévia tentativa de solução administrativa. As controvérsias que não possam ser resolvidas administrativamente serão submetidas ao foro da Justiça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do Município de Cascavel - PR.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3">
      <w:pPr>
        <w:ind w:left="0" w:hanging="2"/>
        <w:rPr/>
      </w:pPr>
      <w:r w:rsidDel="00000000" w:rsidR="00000000" w:rsidRPr="00000000">
        <w:rPr>
          <w:rtl w:val="0"/>
        </w:rPr>
      </w:r>
    </w:p>
    <w:tbl>
      <w:tblPr>
        <w:tblStyle w:val="Table14"/>
        <w:tblW w:w="9972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4812"/>
        <w:gridCol w:w="5160"/>
        <w:tblGridChange w:id="0">
          <w:tblGrid>
            <w:gridCol w:w="4812"/>
            <w:gridCol w:w="5160"/>
          </w:tblGrid>
        </w:tblGridChange>
      </w:tblGrid>
      <w:tr>
        <w:trPr>
          <w:cantSplit w:val="0"/>
          <w:trHeight w:val="525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shd w:fill="d9d9d9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14.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DATA E ASSINATURAS</w:t>
            </w:r>
          </w:p>
        </w:tc>
      </w:tr>
      <w:tr>
        <w:trPr>
          <w:cantSplit w:val="0"/>
          <w:trHeight w:val="851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D6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E, por assim estarem plenamente de acordo,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as partes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obrigam-se ao total cumprimento dos termos do presente instrumento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D8">
            <w:pPr>
              <w:spacing w:after="120" w:before="120" w:line="240" w:lineRule="auto"/>
              <w:ind w:left="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assinado eletronicamente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D9">
            <w:pPr>
              <w:spacing w:after="120" w:before="120"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NOME</w:t>
            </w:r>
          </w:p>
          <w:p w:rsidR="00000000" w:rsidDel="00000000" w:rsidP="00000000" w:rsidRDefault="00000000" w:rsidRPr="00000000" w14:paraId="000000DA">
            <w:pPr>
              <w:spacing w:after="120" w:before="120" w:line="240" w:lineRule="auto"/>
              <w:ind w:left="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CARGO</w:t>
            </w:r>
          </w:p>
          <w:p w:rsidR="00000000" w:rsidDel="00000000" w:rsidP="00000000" w:rsidRDefault="00000000" w:rsidRPr="00000000" w14:paraId="000000DB">
            <w:pPr>
              <w:spacing w:after="120" w:before="120" w:line="240" w:lineRule="auto"/>
              <w:ind w:left="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Representante legal da entidade cultural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C">
            <w:pPr>
              <w:spacing w:after="120" w:before="120" w:line="240" w:lineRule="auto"/>
              <w:ind w:left="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 (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assinado eletronicamente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DD">
            <w:pPr>
              <w:spacing w:after="120" w:before="120" w:line="240" w:lineRule="auto"/>
              <w:ind w:left="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Representante legal do órgão ou entidade pública</w:t>
            </w:r>
          </w:p>
        </w:tc>
      </w:tr>
    </w:tbl>
    <w:p w:rsidR="00000000" w:rsidDel="00000000" w:rsidP="00000000" w:rsidRDefault="00000000" w:rsidRPr="00000000" w14:paraId="000000DE">
      <w:pPr>
        <w:spacing w:after="120" w:before="12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1133" w:top="1984" w:left="1133" w:right="1133" w:header="566" w:footer="56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3">
    <w:pPr>
      <w:keepNext w:val="0"/>
      <w:keepLines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hanging="2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4">
    <w:pPr>
      <w:keepNext w:val="0"/>
      <w:keepLines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hanging="2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Página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de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5">
    <w:pPr>
      <w:keepNext w:val="0"/>
      <w:keepLines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hanging="2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6">
    <w:pPr>
      <w:keepNext w:val="0"/>
      <w:keepLines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hanging="2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F">
    <w:pPr>
      <w:keepNext w:val="0"/>
      <w:keepLines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hanging="2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0">
    <w:pPr>
      <w:tabs>
        <w:tab w:val="center" w:leader="none" w:pos="4252"/>
        <w:tab w:val="right" w:leader="none" w:pos="8504"/>
      </w:tabs>
      <w:spacing w:after="0" w:line="240" w:lineRule="auto"/>
      <w:ind w:firstLine="0"/>
      <w:rPr>
        <w:rFonts w:ascii="Arial" w:cs="Arial" w:eastAsia="Arial" w:hAnsi="Arial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-177799</wp:posOffset>
              </wp:positionV>
              <wp:extent cx="1483995" cy="480695"/>
              <wp:effectExtent b="0" l="0" r="0" t="0"/>
              <wp:wrapNone/>
              <wp:docPr id="6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4613528" y="3544415"/>
                        <a:ext cx="1464945" cy="471170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16"/>
                              <w:vertAlign w:val="baseline"/>
                            </w:rPr>
                            <w:t xml:space="preserve">Prefeitura Municipal de Cascavel - PR</w:t>
                          </w: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-177799</wp:posOffset>
              </wp:positionV>
              <wp:extent cx="1483995" cy="480695"/>
              <wp:effectExtent b="0" l="0" r="0" t="0"/>
              <wp:wrapNone/>
              <wp:docPr id="6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83995" cy="48069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-63499</wp:posOffset>
              </wp:positionH>
              <wp:positionV relativeFrom="paragraph">
                <wp:posOffset>381000</wp:posOffset>
              </wp:positionV>
              <wp:extent cx="5817870" cy="22225"/>
              <wp:effectExtent b="0" l="0" r="0" t="0"/>
              <wp:wrapNone/>
              <wp:docPr id="5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441828" y="3780000"/>
                        <a:ext cx="5808345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00206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-63499</wp:posOffset>
              </wp:positionH>
              <wp:positionV relativeFrom="paragraph">
                <wp:posOffset>381000</wp:posOffset>
              </wp:positionV>
              <wp:extent cx="5817870" cy="22225"/>
              <wp:effectExtent b="0" l="0" r="0" t="0"/>
              <wp:wrapNone/>
              <wp:docPr id="5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17870" cy="222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1516380</wp:posOffset>
          </wp:positionH>
          <wp:positionV relativeFrom="paragraph">
            <wp:posOffset>-185419</wp:posOffset>
          </wp:positionV>
          <wp:extent cx="4154170" cy="519430"/>
          <wp:effectExtent b="0" l="0" r="0" t="0"/>
          <wp:wrapNone/>
          <wp:docPr id="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69069" l="0" r="0" t="8698"/>
                  <a:stretch>
                    <a:fillRect/>
                  </a:stretch>
                </pic:blipFill>
                <pic:spPr>
                  <a:xfrm>
                    <a:off x="0" y="0"/>
                    <a:ext cx="4154170" cy="51943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E1">
    <w:pPr>
      <w:ind w:left="0" w:hanging="2"/>
      <w:rPr/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2">
    <w:pPr>
      <w:keepNext w:val="0"/>
      <w:keepLines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hanging="2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hanging="1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hanging="1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hanging="1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hanging="1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hanging="1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hanging="1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hanging="1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1" w:default="1">
    <w:name w:val="Normal"/>
    <w:uiPriority w:val="0"/>
    <w:qFormat w:val="1"/>
    <w:pPr>
      <w:suppressAutoHyphens w:val="1"/>
      <w:spacing w:after="160" w:line="259" w:lineRule="auto"/>
      <w:ind w:left="-1" w:leftChars="-1" w:hanging="1" w:hangingChars="1"/>
      <w:textAlignment w:val="top"/>
      <w:outlineLvl w:val="0"/>
    </w:pPr>
    <w:rPr>
      <w:rFonts w:ascii="Calibri" w:cs="Calibri" w:eastAsia="Calibri" w:hAnsi="Calibri"/>
      <w:position w:val="-1"/>
      <w:sz w:val="22"/>
      <w:szCs w:val="22"/>
      <w:lang w:eastAsia="en-US" w:val="pt-BR"/>
    </w:rPr>
  </w:style>
  <w:style w:type="paragraph" w:styleId="2">
    <w:name w:val="heading 1"/>
    <w:next w:val="1"/>
    <w:uiPriority w:val="9"/>
    <w:qFormat w:val="1"/>
    <w:pPr>
      <w:keepNext w:val="1"/>
      <w:keepLines w:val="1"/>
      <w:spacing w:after="120" w:before="480" w:line="259" w:lineRule="auto"/>
      <w:ind w:hanging="1"/>
    </w:pPr>
    <w:rPr>
      <w:rFonts w:ascii="Calibri" w:cs="Calibri" w:eastAsia="Calibri" w:hAnsi="Calibri"/>
      <w:b w:val="1"/>
      <w:sz w:val="48"/>
      <w:szCs w:val="48"/>
      <w:lang w:val="pt-BR"/>
    </w:rPr>
  </w:style>
  <w:style w:type="paragraph" w:styleId="3">
    <w:name w:val="heading 2"/>
    <w:next w:val="1"/>
    <w:uiPriority w:val="9"/>
    <w:semiHidden w:val="1"/>
    <w:unhideWhenUsed w:val="1"/>
    <w:qFormat w:val="1"/>
    <w:pPr>
      <w:keepNext w:val="1"/>
      <w:keepLines w:val="1"/>
      <w:spacing w:after="80" w:before="360" w:line="259" w:lineRule="auto"/>
      <w:ind w:hanging="1"/>
      <w:outlineLvl w:val="1"/>
    </w:pPr>
    <w:rPr>
      <w:rFonts w:ascii="Calibri" w:cs="Calibri" w:eastAsia="Calibri" w:hAnsi="Calibri"/>
      <w:b w:val="1"/>
      <w:sz w:val="36"/>
      <w:szCs w:val="36"/>
      <w:lang w:val="pt-BR"/>
    </w:rPr>
  </w:style>
  <w:style w:type="paragraph" w:styleId="4">
    <w:name w:val="heading 3"/>
    <w:next w:val="1"/>
    <w:uiPriority w:val="9"/>
    <w:semiHidden w:val="1"/>
    <w:unhideWhenUsed w:val="1"/>
    <w:qFormat w:val="1"/>
    <w:pPr>
      <w:keepNext w:val="1"/>
      <w:keepLines w:val="1"/>
      <w:spacing w:after="80" w:before="280" w:line="259" w:lineRule="auto"/>
      <w:ind w:hanging="1"/>
      <w:outlineLvl w:val="2"/>
    </w:pPr>
    <w:rPr>
      <w:rFonts w:ascii="Calibri" w:cs="Calibri" w:eastAsia="Calibri" w:hAnsi="Calibri"/>
      <w:b w:val="1"/>
      <w:sz w:val="28"/>
      <w:szCs w:val="28"/>
      <w:lang w:val="pt-BR"/>
    </w:rPr>
  </w:style>
  <w:style w:type="paragraph" w:styleId="5">
    <w:name w:val="heading 4"/>
    <w:next w:val="1"/>
    <w:uiPriority w:val="9"/>
    <w:semiHidden w:val="1"/>
    <w:unhideWhenUsed w:val="1"/>
    <w:qFormat w:val="1"/>
    <w:pPr>
      <w:keepNext w:val="1"/>
      <w:keepLines w:val="1"/>
      <w:spacing w:after="40" w:before="240" w:line="259" w:lineRule="auto"/>
      <w:ind w:hanging="1"/>
      <w:outlineLvl w:val="3"/>
    </w:pPr>
    <w:rPr>
      <w:rFonts w:ascii="Calibri" w:cs="Calibri" w:eastAsia="Calibri" w:hAnsi="Calibri"/>
      <w:b w:val="1"/>
      <w:sz w:val="24"/>
      <w:szCs w:val="24"/>
      <w:lang w:val="pt-BR"/>
    </w:rPr>
  </w:style>
  <w:style w:type="paragraph" w:styleId="6">
    <w:name w:val="heading 5"/>
    <w:next w:val="1"/>
    <w:uiPriority w:val="9"/>
    <w:semiHidden w:val="1"/>
    <w:unhideWhenUsed w:val="1"/>
    <w:qFormat w:val="1"/>
    <w:pPr>
      <w:keepNext w:val="1"/>
      <w:keepLines w:val="1"/>
      <w:spacing w:after="40" w:before="220" w:line="259" w:lineRule="auto"/>
      <w:ind w:hanging="1"/>
      <w:outlineLvl w:val="4"/>
    </w:pPr>
    <w:rPr>
      <w:rFonts w:ascii="Calibri" w:cs="Calibri" w:eastAsia="Calibri" w:hAnsi="Calibri"/>
      <w:b w:val="1"/>
      <w:sz w:val="22"/>
      <w:szCs w:val="22"/>
      <w:lang w:val="pt-BR"/>
    </w:rPr>
  </w:style>
  <w:style w:type="paragraph" w:styleId="7">
    <w:name w:val="heading 6"/>
    <w:next w:val="1"/>
    <w:uiPriority w:val="9"/>
    <w:semiHidden w:val="1"/>
    <w:unhideWhenUsed w:val="1"/>
    <w:qFormat w:val="1"/>
    <w:pPr>
      <w:keepNext w:val="1"/>
      <w:keepLines w:val="1"/>
      <w:spacing w:after="40" w:before="200" w:line="259" w:lineRule="auto"/>
      <w:ind w:hanging="1"/>
      <w:outlineLvl w:val="5"/>
    </w:pPr>
    <w:rPr>
      <w:rFonts w:ascii="Calibri" w:cs="Calibri" w:eastAsia="Calibri" w:hAnsi="Calibri"/>
      <w:b w:val="1"/>
      <w:sz w:val="20"/>
      <w:szCs w:val="20"/>
      <w:lang w:val="pt-BR"/>
    </w:rPr>
  </w:style>
  <w:style w:type="character" w:styleId="8" w:default="1">
    <w:name w:val="Default Paragraph Font"/>
    <w:uiPriority w:val="1"/>
    <w:semiHidden w:val="1"/>
    <w:unhideWhenUsed w:val="1"/>
  </w:style>
  <w:style w:type="table" w:styleId="9" w:default="1">
    <w:name w:val="Normal Table"/>
    <w:uiPriority w:val="99"/>
    <w:semiHidden w:val="1"/>
    <w:unhideWhenUsed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10">
    <w:name w:val="annotation reference"/>
    <w:uiPriority w:val="0"/>
    <w:qFormat w:val="1"/>
    <w:rPr>
      <w:w w:val="100"/>
      <w:position w:val="-1"/>
      <w:sz w:val="16"/>
      <w:szCs w:val="16"/>
      <w:vertAlign w:val="baseline"/>
      <w:cs w:val="0"/>
    </w:rPr>
  </w:style>
  <w:style w:type="paragraph" w:styleId="11">
    <w:name w:val="annotation text"/>
    <w:basedOn w:val="1"/>
    <w:uiPriority w:val="0"/>
    <w:qFormat w:val="1"/>
    <w:rPr>
      <w:sz w:val="20"/>
      <w:szCs w:val="20"/>
    </w:rPr>
  </w:style>
  <w:style w:type="paragraph" w:styleId="12">
    <w:name w:val="Title"/>
    <w:next w:val="1"/>
    <w:uiPriority w:val="10"/>
    <w:qFormat w:val="1"/>
    <w:pPr>
      <w:keepNext w:val="1"/>
      <w:keepLines w:val="1"/>
      <w:spacing w:after="120" w:before="480" w:line="259" w:lineRule="auto"/>
      <w:ind w:hanging="1"/>
    </w:pPr>
    <w:rPr>
      <w:rFonts w:ascii="Calibri" w:cs="Calibri" w:eastAsia="Calibri" w:hAnsi="Calibri"/>
      <w:b w:val="1"/>
      <w:sz w:val="72"/>
      <w:szCs w:val="72"/>
      <w:lang w:val="pt-BR"/>
    </w:rPr>
  </w:style>
  <w:style w:type="paragraph" w:styleId="13">
    <w:name w:val="header"/>
    <w:basedOn w:val="1"/>
    <w:link w:val="32"/>
    <w:uiPriority w:val="99"/>
    <w:unhideWhenUsed w:val="1"/>
    <w:qFormat w:val="1"/>
    <w:pPr>
      <w:tabs>
        <w:tab w:val="center" w:pos="4252"/>
        <w:tab w:val="right" w:pos="8504"/>
      </w:tabs>
      <w:spacing w:after="0" w:line="240" w:lineRule="auto"/>
    </w:pPr>
  </w:style>
  <w:style w:type="paragraph" w:styleId="14">
    <w:name w:val="annotation subject"/>
    <w:basedOn w:val="11"/>
    <w:next w:val="11"/>
    <w:uiPriority w:val="0"/>
    <w:qFormat w:val="1"/>
    <w:rPr>
      <w:b w:val="1"/>
      <w:bCs w:val="1"/>
    </w:rPr>
  </w:style>
  <w:style w:type="paragraph" w:styleId="15">
    <w:name w:val="footer"/>
    <w:basedOn w:val="1"/>
    <w:link w:val="33"/>
    <w:uiPriority w:val="99"/>
    <w:unhideWhenUsed w:val="1"/>
    <w:qFormat w:val="1"/>
    <w:pPr>
      <w:tabs>
        <w:tab w:val="center" w:pos="4252"/>
        <w:tab w:val="right" w:pos="8504"/>
      </w:tabs>
      <w:spacing w:after="0" w:line="240" w:lineRule="auto"/>
    </w:pPr>
  </w:style>
  <w:style w:type="paragraph" w:styleId="16">
    <w:name w:val="Balloon Text"/>
    <w:basedOn w:val="1"/>
    <w:uiPriority w:val="0"/>
    <w:qFormat w:val="1"/>
    <w:pPr>
      <w:spacing w:after="0" w:line="240" w:lineRule="auto"/>
    </w:pPr>
    <w:rPr>
      <w:rFonts w:ascii="Segoe UI" w:hAnsi="Segoe UI"/>
      <w:sz w:val="18"/>
      <w:szCs w:val="18"/>
    </w:rPr>
  </w:style>
  <w:style w:type="paragraph" w:styleId="17">
    <w:name w:val="Subtitle"/>
    <w:basedOn w:val="1"/>
    <w:next w:val="1"/>
    <w:uiPriority w:val="0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18" w:customStyle="1">
    <w:name w:val="Table Normal"/>
    <w:uiPriority w:val="0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19" w:customStyle="1">
    <w:name w:val="Table Normal1"/>
    <w:uiPriority w:val="0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20" w:customStyle="1">
    <w:name w:val="Texto de balão Char"/>
    <w:uiPriority w:val="0"/>
    <w:rPr>
      <w:rFonts w:ascii="Segoe UI" w:cs="Segoe UI" w:hAnsi="Segoe UI"/>
      <w:w w:val="100"/>
      <w:position w:val="-1"/>
      <w:sz w:val="18"/>
      <w:szCs w:val="18"/>
      <w:vertAlign w:val="baseline"/>
      <w:cs w:val="0"/>
      <w:lang w:eastAsia="en-US"/>
    </w:rPr>
  </w:style>
  <w:style w:type="paragraph" w:styleId="21">
    <w:name w:val="No Spacing"/>
    <w:uiPriority w:val="0"/>
    <w:pPr>
      <w:suppressAutoHyphens w:val="1"/>
      <w:spacing w:after="160" w:line="1" w:lineRule="atLeast"/>
      <w:ind w:left="-1" w:leftChars="-1" w:hanging="1" w:hangingChars="1"/>
      <w:textAlignment w:val="top"/>
      <w:outlineLvl w:val="0"/>
    </w:pPr>
    <w:rPr>
      <w:rFonts w:ascii="Calibri" w:cs="Calibri" w:eastAsia="Calibri" w:hAnsi="Calibri"/>
      <w:position w:val="-1"/>
      <w:sz w:val="22"/>
      <w:szCs w:val="22"/>
      <w:lang w:eastAsia="en-US" w:val="pt-BR"/>
    </w:rPr>
  </w:style>
  <w:style w:type="character" w:styleId="22" w:customStyle="1">
    <w:name w:val="Texto de comentário Char"/>
    <w:uiPriority w:val="0"/>
    <w:rPr>
      <w:w w:val="100"/>
      <w:position w:val="-1"/>
      <w:vertAlign w:val="baseline"/>
      <w:cs w:val="0"/>
      <w:lang w:eastAsia="en-US"/>
    </w:rPr>
  </w:style>
  <w:style w:type="character" w:styleId="23" w:customStyle="1">
    <w:name w:val="Assunto do comentário Char"/>
    <w:uiPriority w:val="0"/>
    <w:rPr>
      <w:b w:val="1"/>
      <w:bCs w:val="1"/>
      <w:w w:val="100"/>
      <w:position w:val="-1"/>
      <w:vertAlign w:val="baseline"/>
      <w:cs w:val="0"/>
      <w:lang w:eastAsia="en-US"/>
    </w:rPr>
  </w:style>
  <w:style w:type="paragraph" w:styleId="24">
    <w:name w:val="List Paragraph"/>
    <w:basedOn w:val="1"/>
    <w:uiPriority w:val="0"/>
    <w:qFormat w:val="1"/>
    <w:pPr>
      <w:spacing w:after="0" w:line="240" w:lineRule="auto"/>
      <w:ind w:left="720"/>
      <w:contextualSpacing w:val="1"/>
    </w:pPr>
    <w:rPr>
      <w:rFonts w:ascii="Times New Roman" w:eastAsia="Times New Roman" w:hAnsi="Times New Roman"/>
      <w:sz w:val="20"/>
      <w:szCs w:val="20"/>
      <w:lang w:eastAsia="pt-BR"/>
    </w:rPr>
  </w:style>
  <w:style w:type="paragraph" w:styleId="25" w:customStyle="1">
    <w:name w:val="western"/>
    <w:basedOn w:val="1"/>
    <w:uiPriority w:val="0"/>
    <w:qFormat w:val="1"/>
    <w:pPr>
      <w:spacing w:after="119" w:before="100" w:before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26" w:customStyle="1">
    <w:name w:val="Revision"/>
    <w:uiPriority w:val="0"/>
    <w:qFormat w:val="1"/>
    <w:pPr>
      <w:suppressAutoHyphens w:val="1"/>
      <w:spacing w:after="160" w:line="1" w:lineRule="atLeast"/>
      <w:ind w:left="-1" w:leftChars="-1" w:hanging="1" w:hangingChars="1"/>
      <w:textAlignment w:val="top"/>
      <w:outlineLvl w:val="0"/>
    </w:pPr>
    <w:rPr>
      <w:rFonts w:ascii="Calibri" w:cs="Calibri" w:eastAsia="Calibri" w:hAnsi="Calibri"/>
      <w:position w:val="-1"/>
      <w:sz w:val="22"/>
      <w:szCs w:val="22"/>
      <w:lang w:eastAsia="en-US" w:val="pt-BR"/>
    </w:rPr>
  </w:style>
  <w:style w:type="paragraph" w:styleId="27" w:customStyle="1">
    <w:name w:val="Normal1"/>
    <w:uiPriority w:val="0"/>
    <w:qFormat w:val="1"/>
    <w:pPr>
      <w:spacing w:after="200" w:line="276" w:lineRule="auto"/>
      <w:ind w:left="-1" w:leftChars="-1" w:hanging="1" w:hangingChars="1"/>
      <w:textAlignment w:val="top"/>
      <w:outlineLvl w:val="0"/>
    </w:pPr>
    <w:rPr>
      <w:rFonts w:ascii="Times New Roman" w:cs="Calibri" w:eastAsia="Times New Roman" w:hAnsi="Times New Roman"/>
      <w:position w:val="-1"/>
      <w:sz w:val="22"/>
      <w:szCs w:val="22"/>
      <w:lang w:val="pt-BR"/>
    </w:rPr>
  </w:style>
  <w:style w:type="table" w:styleId="28" w:customStyle="1">
    <w:name w:val="4"/>
    <w:basedOn w:val="19"/>
    <w:uiPriority w:val="0"/>
    <w:qFormat w:val="1"/>
    <w:tblPr>
      <w:tblCellMar>
        <w:left w:w="108.0" w:type="dxa"/>
        <w:right w:w="108.0" w:type="dxa"/>
      </w:tblCellMar>
    </w:tblPr>
  </w:style>
  <w:style w:type="table" w:styleId="29" w:customStyle="1">
    <w:name w:val="3"/>
    <w:basedOn w:val="19"/>
    <w:uiPriority w:val="0"/>
    <w:qFormat w:val="1"/>
    <w:tblPr>
      <w:tblCellMar>
        <w:left w:w="108.0" w:type="dxa"/>
        <w:right w:w="108.0" w:type="dxa"/>
      </w:tblCellMar>
    </w:tblPr>
  </w:style>
  <w:style w:type="table" w:styleId="30" w:customStyle="1">
    <w:name w:val="2"/>
    <w:basedOn w:val="19"/>
    <w:uiPriority w:val="0"/>
    <w:qFormat w:val="1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31" w:customStyle="1">
    <w:name w:val="1"/>
    <w:basedOn w:val="19"/>
    <w:uiPriority w:val="0"/>
    <w:qFormat w:val="1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character" w:styleId="32" w:customStyle="1">
    <w:name w:val="Cabeçalho Char"/>
    <w:basedOn w:val="8"/>
    <w:link w:val="13"/>
    <w:uiPriority w:val="99"/>
    <w:qFormat w:val="1"/>
    <w:rPr>
      <w:position w:val="-1"/>
      <w:lang w:eastAsia="en-US"/>
    </w:rPr>
  </w:style>
  <w:style w:type="character" w:styleId="33" w:customStyle="1">
    <w:name w:val="Rodapé Char"/>
    <w:basedOn w:val="8"/>
    <w:link w:val="15"/>
    <w:uiPriority w:val="99"/>
    <w:qFormat w:val="1"/>
    <w:rPr>
      <w:position w:val="-1"/>
      <w:lang w:eastAsia="en-US"/>
    </w:rPr>
  </w:style>
  <w:style w:type="table" w:styleId="34" w:customStyle="1">
    <w:name w:val="_Style 61"/>
    <w:basedOn w:val="18"/>
    <w:uiPriority w:val="0"/>
    <w:qFormat w:val="1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35" w:customStyle="1">
    <w:name w:val="_Style 62"/>
    <w:basedOn w:val="18"/>
    <w:uiPriority w:val="0"/>
    <w:qFormat w:val="1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36" w:customStyle="1">
    <w:name w:val="_Style 63"/>
    <w:basedOn w:val="18"/>
    <w:uiPriority w:val="0"/>
    <w:qFormat w:val="1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37" w:customStyle="1">
    <w:name w:val="_Style 64"/>
    <w:basedOn w:val="18"/>
    <w:uiPriority w:val="0"/>
    <w:qFormat w:val="1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38" w:customStyle="1">
    <w:name w:val="_Style 65"/>
    <w:basedOn w:val="18"/>
    <w:uiPriority w:val="0"/>
    <w:qFormat w:val="1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39" w:customStyle="1">
    <w:name w:val="_Style 66"/>
    <w:basedOn w:val="18"/>
    <w:uiPriority w:val="0"/>
    <w:qFormat w:val="1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40" w:customStyle="1">
    <w:name w:val="_Style 67"/>
    <w:basedOn w:val="18"/>
    <w:uiPriority w:val="0"/>
    <w:qFormat w:val="1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41" w:customStyle="1">
    <w:name w:val="_Style 68"/>
    <w:basedOn w:val="18"/>
    <w:uiPriority w:val="0"/>
    <w:qFormat w:val="1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42" w:customStyle="1">
    <w:name w:val="_Style 69"/>
    <w:basedOn w:val="18"/>
    <w:uiPriority w:val="0"/>
    <w:qFormat w:val="1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43" w:customStyle="1">
    <w:name w:val="_Style 70"/>
    <w:basedOn w:val="18"/>
    <w:uiPriority w:val="0"/>
    <w:qFormat w:val="1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44" w:customStyle="1">
    <w:name w:val="_Style 71"/>
    <w:basedOn w:val="18"/>
    <w:uiPriority w:val="0"/>
    <w:qFormat w:val="1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45" w:customStyle="1">
    <w:name w:val="_Style 72"/>
    <w:basedOn w:val="18"/>
    <w:uiPriority w:val="0"/>
    <w:qFormat w:val="1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46" w:customStyle="1">
    <w:name w:val="_Style 73"/>
    <w:basedOn w:val="18"/>
    <w:uiPriority w:val="0"/>
    <w:qFormat w:val="1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47" w:customStyle="1">
    <w:name w:val="_Style 74"/>
    <w:basedOn w:val="18"/>
    <w:uiPriority w:val="0"/>
    <w:qFormat w:val="1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48" w:customStyle="1">
    <w:name w:val="_Style 75"/>
    <w:basedOn w:val="18"/>
    <w:uiPriority w:val="0"/>
    <w:qFormat w:val="1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49" w:customStyle="1">
    <w:name w:val="_Style 76"/>
    <w:basedOn w:val="18"/>
    <w:uiPriority w:val="0"/>
    <w:qFormat w:val="1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50" w:customStyle="1">
    <w:name w:val="_Style 77"/>
    <w:basedOn w:val="18"/>
    <w:uiPriority w:val="0"/>
    <w:qFormat w:val="1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51" w:customStyle="1">
    <w:name w:val="_Style 79"/>
    <w:uiPriority w:val="0"/>
    <w:qFormat w:val="1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52" w:customStyle="1">
    <w:name w:val="_Style 80"/>
    <w:uiPriority w:val="0"/>
    <w:qFormat w:val="1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53" w:customStyle="1">
    <w:name w:val="_Style 81"/>
    <w:uiPriority w:val="0"/>
    <w:qFormat w:val="1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54" w:customStyle="1">
    <w:name w:val="_Style 82"/>
    <w:uiPriority w:val="0"/>
    <w:qFormat w:val="1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55" w:customStyle="1">
    <w:name w:val="_Style 83"/>
    <w:uiPriority w:val="0"/>
    <w:qFormat w:val="1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56" w:customStyle="1">
    <w:name w:val="_Style 84"/>
    <w:uiPriority w:val="0"/>
    <w:qFormat w:val="1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57" w:customStyle="1">
    <w:name w:val="_Style 85"/>
    <w:uiPriority w:val="0"/>
    <w:qFormat w:val="1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58" w:customStyle="1">
    <w:name w:val="_Style 86"/>
    <w:uiPriority w:val="0"/>
    <w:qFormat w:val="1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59" w:customStyle="1">
    <w:name w:val="_Style 87"/>
    <w:uiPriority w:val="0"/>
    <w:qFormat w:val="1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60" w:customStyle="1">
    <w:name w:val="_Style 88"/>
    <w:uiPriority w:val="0"/>
    <w:qFormat w:val="1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61" w:customStyle="1">
    <w:name w:val="_Style 89"/>
    <w:uiPriority w:val="0"/>
    <w:qFormat w:val="1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62" w:customStyle="1">
    <w:name w:val="_Style 90"/>
    <w:uiPriority w:val="0"/>
    <w:qFormat w:val="1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63" w:customStyle="1">
    <w:name w:val="_Style 91"/>
    <w:uiPriority w:val="0"/>
    <w:qFormat w:val="1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64" w:customStyle="1">
    <w:name w:val="_Style 92"/>
    <w:uiPriority w:val="0"/>
    <w:qFormat w:val="1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65" w:customStyle="1">
    <w:name w:val="_Style 94"/>
    <w:uiPriority w:val="0"/>
    <w:qFormat w:val="1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66" w:customStyle="1">
    <w:name w:val="_Style 95"/>
    <w:uiPriority w:val="0"/>
    <w:qFormat w:val="1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67" w:customStyle="1">
    <w:name w:val="_Style 96"/>
    <w:uiPriority w:val="0"/>
    <w:qFormat w:val="1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68" w:customStyle="1">
    <w:name w:val="_Style 97"/>
    <w:uiPriority w:val="0"/>
    <w:qFormat w:val="1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69" w:customStyle="1">
    <w:name w:val="_Style 98"/>
    <w:uiPriority w:val="0"/>
    <w:qFormat w:val="1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70" w:customStyle="1">
    <w:name w:val="_Style 99"/>
    <w:uiPriority w:val="0"/>
    <w:qFormat w:val="1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71" w:customStyle="1">
    <w:name w:val="_Style 100"/>
    <w:uiPriority w:val="0"/>
    <w:qFormat w:val="1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72" w:customStyle="1">
    <w:name w:val="_Style 101"/>
    <w:uiPriority w:val="0"/>
    <w:qFormat w:val="1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73" w:customStyle="1">
    <w:name w:val="_Style 102"/>
    <w:uiPriority w:val="0"/>
    <w:qFormat w:val="1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74" w:customStyle="1">
    <w:name w:val="_Style 103"/>
    <w:uiPriority w:val="0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75" w:customStyle="1">
    <w:name w:val="_Style 104"/>
    <w:uiPriority w:val="0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76" w:customStyle="1">
    <w:name w:val="_Style 105"/>
    <w:uiPriority w:val="0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77" w:customStyle="1">
    <w:name w:val="_Style 106"/>
    <w:uiPriority w:val="0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78" w:customStyle="1">
    <w:name w:val="_Style 107"/>
    <w:uiPriority w:val="0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ByisnHrZdb7lpAWCmEAPthIHvQ==">CgMxLjAyCGguZ2pkZ3hzOAByITF0QVRRbFEza3dhbTFncEtaVklIck0wTmxsMERRLXZ4WA==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2022-08-11T14:23:00Z</dcterms:created>
  <dc:creator>Daniela Guimaraes Goulart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1046-12.2.0.17545</vt:lpwstr>
  </property>
  <property fmtid="{D5CDD505-2E9C-101B-9397-08002B2CF9AE}" pid="3" name="ICV">
    <vt:lpwstr>157BB7EA0C784C93B0B0741D5793FE74_13</vt:lpwstr>
  </property>
</Properties>
</file>