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028/2024 - PREMIAÇÃO DE PONTOS E PONTÕES DE CULTURA COM RECURSOS REMANESCENTES DO EDITAL 023/2024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 CASCAVEL - PARANÁ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1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4238625</wp:posOffset>
            </wp:positionH>
            <wp:positionV relativeFrom="paragraph">
              <wp:posOffset>1769604</wp:posOffset>
            </wp:positionV>
            <wp:extent cx="2147226" cy="7393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401" l="64784" r="0" t="93888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47625</wp:posOffset>
            </wp:positionH>
            <wp:positionV relativeFrom="paragraph">
              <wp:posOffset>1771650</wp:posOffset>
            </wp:positionV>
            <wp:extent cx="1038225" cy="44648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16" l="0" r="81893" t="9310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6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2085975</wp:posOffset>
            </wp:positionH>
            <wp:positionV relativeFrom="paragraph">
              <wp:posOffset>1784384</wp:posOffset>
            </wp:positionV>
            <wp:extent cx="1905000" cy="504825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-35963</wp:posOffset>
          </wp:positionH>
          <wp:positionV relativeFrom="paragraph">
            <wp:posOffset>0</wp:posOffset>
          </wp:positionV>
          <wp:extent cx="6157054" cy="623888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7054" cy="623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GAYpeTUwolKQZAJPb+dS36zZA==">CgMxLjA4AHIhMWJYUE95VUZBczdNRmxwYUR5U2sxMW9xRXMwaXlCaENS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